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ascii="仿宋" w:hAnsi="仿宋" w:eastAsia="仿宋" w:cs="宋体"/>
          <w:color w:val="000000"/>
          <w:sz w:val="32"/>
          <w:szCs w:val="22"/>
        </w:rPr>
      </w:pPr>
      <w:r>
        <w:rPr>
          <w:rFonts w:hint="eastAsia" w:ascii="仿宋" w:hAnsi="仿宋" w:eastAsia="仿宋" w:cs="宋体"/>
          <w:color w:val="000000"/>
          <w:sz w:val="32"/>
          <w:szCs w:val="22"/>
        </w:rPr>
        <w:t>附件2:</w:t>
      </w:r>
    </w:p>
    <w:p>
      <w:pPr>
        <w:jc w:val="center"/>
      </w:pPr>
      <w:r>
        <w:rPr>
          <w:rFonts w:hint="default" w:ascii="黑体" w:hAnsi="黑体" w:eastAsia="黑体" w:cs="Times New Roman"/>
          <w:b/>
          <w:bCs/>
          <w:sz w:val="36"/>
          <w:szCs w:val="36"/>
        </w:rPr>
        <w:t>名师有约评分细则</w:t>
      </w:r>
    </w:p>
    <w:p>
      <w:pPr>
        <w:spacing w:line="360" w:lineRule="auto"/>
      </w:pPr>
      <w:r>
        <w:rPr>
          <w:rFonts w:hint="default" w:ascii="仿宋_GB2312" w:hAnsi="宋体" w:eastAsia="仿宋_GB2312" w:cs="Times New Roman"/>
          <w:sz w:val="24"/>
        </w:rPr>
        <w:t>一</w:t>
      </w:r>
      <w:r>
        <w:rPr>
          <w:rFonts w:hint="default" w:ascii="仿宋_GB2312" w:hAnsi="黑体" w:eastAsia="仿宋_GB2312" w:cs="Times New Roman"/>
          <w:b/>
          <w:bCs/>
          <w:sz w:val="24"/>
        </w:rPr>
        <w:t>、</w:t>
      </w:r>
      <w:r>
        <w:rPr>
          <w:rFonts w:hint="default" w:ascii="仿宋_GB2312" w:hAnsi="宋体" w:eastAsia="仿宋_GB2312" w:cs="Times New Roman"/>
          <w:sz w:val="24"/>
        </w:rPr>
        <w:t>策划案</w:t>
      </w:r>
    </w:p>
    <w:p>
      <w:pPr>
        <w:spacing w:line="360" w:lineRule="auto"/>
        <w:ind w:firstLine="480" w:firstLineChars="200"/>
      </w:pPr>
      <w:r>
        <w:rPr>
          <w:rFonts w:hint="default" w:ascii="仿宋_GB2312" w:hAnsi="宋体" w:eastAsia="仿宋_GB2312" w:cs="Times New Roman"/>
          <w:sz w:val="24"/>
        </w:rPr>
        <w:t>1.策划案填写的完整度</w:t>
      </w:r>
      <w:r>
        <w:rPr>
          <w:rFonts w:hint="default" w:ascii="微软雅黑" w:hAnsi="微软雅黑" w:eastAsia="微软雅黑" w:cs="微软雅黑"/>
          <w:sz w:val="24"/>
        </w:rPr>
        <w:t>。</w:t>
      </w:r>
    </w:p>
    <w:p>
      <w:pPr>
        <w:spacing w:line="360" w:lineRule="auto"/>
        <w:ind w:firstLine="480" w:firstLineChars="200"/>
      </w:pPr>
      <w:r>
        <w:rPr>
          <w:rFonts w:hint="default" w:ascii="仿宋_GB2312" w:hAnsi="宋体" w:eastAsia="仿宋_GB2312" w:cs="Times New Roman"/>
          <w:sz w:val="24"/>
        </w:rPr>
        <w:t>2.策划案上交时效性，分</w:t>
      </w:r>
      <w:r>
        <w:rPr>
          <w:rFonts w:hint="default" w:ascii="等线" w:hAnsi="等线" w:cs="微软雅黑"/>
          <w:sz w:val="24"/>
        </w:rPr>
        <w:t>为</w:t>
      </w:r>
      <w:r>
        <w:rPr>
          <w:rFonts w:hint="default" w:ascii="仿宋_GB2312" w:hAnsi="宋体" w:eastAsia="仿宋_GB2312" w:cs="Times New Roman"/>
          <w:sz w:val="24"/>
        </w:rPr>
        <w:t>讲座举办前48小时以上提交，24小时以             上，24小时之内</w:t>
      </w:r>
      <w:r>
        <w:rPr>
          <w:rFonts w:hint="default" w:ascii="微软雅黑" w:hAnsi="微软雅黑" w:eastAsia="微软雅黑" w:cs="微软雅黑"/>
          <w:sz w:val="24"/>
        </w:rPr>
        <w:t>。</w:t>
      </w:r>
    </w:p>
    <w:p>
      <w:pPr>
        <w:spacing w:line="360" w:lineRule="auto"/>
        <w:ind w:firstLine="480" w:firstLineChars="200"/>
      </w:pPr>
      <w:r>
        <w:rPr>
          <w:rFonts w:hint="default" w:ascii="仿宋_GB2312" w:hAnsi="宋体" w:eastAsia="仿宋_GB2312" w:cs="Times New Roman"/>
          <w:sz w:val="24"/>
        </w:rPr>
        <w:t>3.与策划案同时上交的讲座相关学习资料的质量</w:t>
      </w:r>
      <w:r>
        <w:rPr>
          <w:rFonts w:hint="default" w:ascii="微软雅黑" w:hAnsi="微软雅黑" w:eastAsia="微软雅黑" w:cs="微软雅黑"/>
          <w:sz w:val="24"/>
        </w:rPr>
        <w:t>。</w:t>
      </w:r>
    </w:p>
    <w:p>
      <w:pPr>
        <w:spacing w:line="360" w:lineRule="auto"/>
        <w:ind w:firstLine="480" w:firstLineChars="200"/>
      </w:pPr>
      <w:r>
        <w:rPr>
          <w:rFonts w:hint="default" w:ascii="宋体" w:hAnsi="宋体" w:eastAsia="宋体" w:cs="宋体"/>
          <w:sz w:val="24"/>
        </w:rPr>
        <w:t>评价（ A:策划案填写完整，在举办讲座前48小时提交，讲座相关资料质量高；</w:t>
      </w:r>
    </w:p>
    <w:p>
      <w:pPr>
        <w:spacing w:line="360" w:lineRule="auto"/>
        <w:ind w:firstLine="480" w:firstLineChars="200"/>
      </w:pPr>
      <w:r>
        <w:rPr>
          <w:rFonts w:hint="default" w:ascii="宋体" w:hAnsi="宋体" w:eastAsia="宋体" w:cs="宋体"/>
          <w:sz w:val="24"/>
        </w:rPr>
        <w:t xml:space="preserve">       B：策划案填写完整，在举办前24小时提交，讲座相关资料质量高。</w:t>
      </w:r>
    </w:p>
    <w:p>
      <w:pPr>
        <w:spacing w:line="360" w:lineRule="auto"/>
        <w:ind w:firstLine="480" w:firstLineChars="200"/>
      </w:pPr>
      <w:r>
        <w:rPr>
          <w:rFonts w:hint="default" w:ascii="宋体" w:hAnsi="宋体" w:eastAsia="宋体" w:cs="宋体"/>
          <w:sz w:val="24"/>
        </w:rPr>
        <w:t xml:space="preserve">       C：策划案填写不完整，在举办前24小时提交，讲座相关资料质量一般。</w:t>
      </w:r>
    </w:p>
    <w:p>
      <w:pPr>
        <w:spacing w:line="360" w:lineRule="auto"/>
        <w:ind w:firstLine="480" w:firstLineChars="200"/>
      </w:pPr>
      <w:r>
        <w:rPr>
          <w:rFonts w:hint="default" w:ascii="宋体" w:hAnsi="宋体" w:eastAsia="宋体" w:cs="宋体"/>
          <w:sz w:val="24"/>
        </w:rPr>
        <w:t xml:space="preserve">       D：策划案填写不完整，在举办前24小时之内提交，讲座相关资料质量一般。）</w:t>
      </w:r>
    </w:p>
    <w:p>
      <w:pPr>
        <w:spacing w:line="360" w:lineRule="auto"/>
      </w:pPr>
      <w:r>
        <w:rPr>
          <w:rFonts w:hint="default" w:ascii="仿宋_GB2312" w:hAnsi="黑体" w:eastAsia="仿宋_GB2312" w:cs="Times New Roman"/>
          <w:b/>
          <w:bCs/>
          <w:sz w:val="24"/>
        </w:rPr>
        <w:t>二</w:t>
      </w:r>
      <w:r>
        <w:rPr>
          <w:rFonts w:hint="default" w:ascii="微软雅黑" w:hAnsi="微软雅黑" w:eastAsia="微软雅黑" w:cs="微软雅黑"/>
          <w:sz w:val="24"/>
        </w:rPr>
        <w:t>、</w:t>
      </w:r>
      <w:r>
        <w:rPr>
          <w:rFonts w:hint="default" w:ascii="仿宋_GB2312" w:hAnsi="宋体" w:eastAsia="仿宋_GB2312" w:cs="Times New Roman"/>
          <w:sz w:val="24"/>
        </w:rPr>
        <w:t>讲座主题</w:t>
      </w:r>
    </w:p>
    <w:p>
      <w:pPr>
        <w:spacing w:line="360" w:lineRule="auto"/>
        <w:ind w:firstLine="480" w:firstLineChars="200"/>
      </w:pPr>
      <w:r>
        <w:rPr>
          <w:rFonts w:hint="default" w:ascii="仿宋_GB2312" w:hAnsi="宋体" w:eastAsia="仿宋_GB2312" w:cs="Times New Roman"/>
          <w:sz w:val="24"/>
        </w:rPr>
        <w:t>1.讲座的主题选取以及讲座时效是否对学生有帮助</w:t>
      </w:r>
      <w:r>
        <w:rPr>
          <w:rFonts w:hint="default" w:ascii="微软雅黑" w:hAnsi="微软雅黑" w:eastAsia="微软雅黑" w:cs="微软雅黑"/>
          <w:sz w:val="24"/>
        </w:rPr>
        <w:t>。</w:t>
      </w:r>
    </w:p>
    <w:p>
      <w:pPr>
        <w:spacing w:line="360" w:lineRule="auto"/>
        <w:ind w:firstLine="480" w:firstLineChars="200"/>
      </w:pPr>
      <w:r>
        <w:rPr>
          <w:rFonts w:hint="default" w:ascii="仿宋_GB2312" w:hAnsi="宋体" w:eastAsia="仿宋_GB2312" w:cs="Times New Roman"/>
          <w:sz w:val="24"/>
        </w:rPr>
        <w:t>2.讲座的主题</w:t>
      </w:r>
      <w:r>
        <w:rPr>
          <w:rFonts w:hint="default" w:ascii="等线" w:hAnsi="等线" w:cs="微软雅黑"/>
          <w:sz w:val="24"/>
        </w:rPr>
        <w:t>创新程度。</w:t>
      </w:r>
    </w:p>
    <w:p>
      <w:pPr>
        <w:spacing w:line="360" w:lineRule="auto"/>
        <w:ind w:firstLine="480" w:firstLineChars="200"/>
      </w:pPr>
      <w:r>
        <w:rPr>
          <w:rFonts w:hint="default" w:ascii="等线" w:hAnsi="等线" w:cs="微软雅黑"/>
          <w:sz w:val="24"/>
        </w:rPr>
        <w:t>评价（A：主题对学生帮助大，时效性高，与学院特色相关性高。</w:t>
      </w:r>
    </w:p>
    <w:p>
      <w:pPr>
        <w:spacing w:line="360" w:lineRule="auto"/>
        <w:ind w:firstLine="480" w:firstLineChars="200"/>
      </w:pPr>
      <w:r>
        <w:rPr>
          <w:rFonts w:hint="default" w:ascii="等线" w:hAnsi="等线" w:cs="微软雅黑"/>
          <w:sz w:val="24"/>
        </w:rPr>
        <w:t xml:space="preserve">      B：主题对学生帮助大，时效性不高，与学院特色相关性高。</w:t>
      </w:r>
    </w:p>
    <w:p>
      <w:pPr>
        <w:spacing w:line="360" w:lineRule="auto"/>
        <w:ind w:firstLine="480" w:firstLineChars="200"/>
      </w:pPr>
      <w:r>
        <w:rPr>
          <w:rFonts w:hint="default" w:ascii="等线" w:hAnsi="等线" w:cs="微软雅黑"/>
          <w:sz w:val="24"/>
        </w:rPr>
        <w:t xml:space="preserve">      C：主题对学生帮助不大，时效性不高，与学院特色相关性高。</w:t>
      </w:r>
    </w:p>
    <w:p>
      <w:pPr>
        <w:spacing w:line="360" w:lineRule="auto"/>
        <w:ind w:firstLine="480" w:firstLineChars="200"/>
      </w:pPr>
      <w:r>
        <w:rPr>
          <w:rFonts w:hint="default" w:ascii="等线" w:hAnsi="等线" w:cs="微软雅黑"/>
          <w:sz w:val="24"/>
        </w:rPr>
        <w:t xml:space="preserve">      D：主题对学生帮助不大，时效性不高，与学院特色相关性不高。）</w:t>
      </w:r>
    </w:p>
    <w:p>
      <w:pPr>
        <w:spacing w:line="360" w:lineRule="auto"/>
      </w:pPr>
      <w:r>
        <w:rPr>
          <w:rFonts w:hint="default" w:ascii="仿宋_GB2312" w:hAnsi="黑体" w:eastAsia="仿宋_GB2312" w:cs="Times New Roman"/>
          <w:b/>
          <w:bCs/>
          <w:sz w:val="24"/>
        </w:rPr>
        <w:t>三</w:t>
      </w:r>
      <w:r>
        <w:rPr>
          <w:rFonts w:hint="default" w:ascii="仿宋_GB2312" w:hAnsi="宋体" w:eastAsia="仿宋_GB2312" w:cs="Times New Roman"/>
          <w:sz w:val="24"/>
        </w:rPr>
        <w:t>、讲座情况</w:t>
      </w:r>
    </w:p>
    <w:p>
      <w:pPr>
        <w:spacing w:line="360" w:lineRule="auto"/>
        <w:ind w:firstLine="480" w:firstLineChars="200"/>
      </w:pPr>
      <w:r>
        <w:rPr>
          <w:rFonts w:hint="default" w:ascii="仿宋_GB2312" w:hAnsi="宋体" w:eastAsia="仿宋_GB2312" w:cs="Times New Roman"/>
          <w:sz w:val="24"/>
        </w:rPr>
        <w:t>1.参与讲座人数</w:t>
      </w:r>
      <w:r>
        <w:rPr>
          <w:rFonts w:hint="default" w:ascii="微软雅黑" w:hAnsi="微软雅黑" w:eastAsia="微软雅黑" w:cs="微软雅黑"/>
          <w:sz w:val="24"/>
        </w:rPr>
        <w:t>。</w:t>
      </w:r>
    </w:p>
    <w:p>
      <w:pPr>
        <w:spacing w:line="360" w:lineRule="auto"/>
        <w:ind w:firstLine="480" w:firstLineChars="200"/>
      </w:pPr>
      <w:r>
        <w:rPr>
          <w:rFonts w:hint="default" w:ascii="仿宋_GB2312" w:hAnsi="宋体" w:eastAsia="仿宋_GB2312" w:cs="Times New Roman"/>
          <w:sz w:val="24"/>
        </w:rPr>
        <w:t>2.</w:t>
      </w:r>
      <w:r>
        <w:rPr>
          <w:rFonts w:hint="default" w:ascii="仿宋_GB2312" w:hAnsi="黑体" w:eastAsia="仿宋_GB2312" w:cs="Times New Roman"/>
          <w:sz w:val="24"/>
        </w:rPr>
        <w:t>由</w:t>
      </w:r>
      <w:r>
        <w:rPr>
          <w:rFonts w:hint="default" w:ascii="仿宋_GB2312" w:hAnsi="宋体" w:eastAsia="仿宋_GB2312" w:cs="Times New Roman"/>
          <w:sz w:val="24"/>
        </w:rPr>
        <w:t>现场校学生会监督人员根据现场观众是否在聆听讲座以及讲座现场是否安静，是否积极配合老师同学，是否记录PPT内容或板书，讲座现场秩序</w:t>
      </w:r>
      <w:r>
        <w:rPr>
          <w:rFonts w:hint="default" w:ascii="微软雅黑" w:hAnsi="微软雅黑" w:eastAsia="微软雅黑" w:cs="微软雅黑"/>
          <w:sz w:val="24"/>
        </w:rPr>
        <w:t>。</w:t>
      </w:r>
    </w:p>
    <w:p>
      <w:pPr>
        <w:spacing w:line="360" w:lineRule="auto"/>
      </w:pPr>
      <w:r>
        <w:rPr>
          <w:rFonts w:hint="default" w:ascii="仿宋_GB2312" w:hAnsi="宋体" w:eastAsia="仿宋_GB2312" w:cs="Times New Roman"/>
          <w:sz w:val="24"/>
        </w:rPr>
        <w:t xml:space="preserve">     评价（A：参与讲座人数多，讲座现场安静，学生学习讲座内容积极性高</w:t>
      </w:r>
    </w:p>
    <w:p>
      <w:pPr>
        <w:spacing w:line="360" w:lineRule="auto"/>
      </w:pPr>
      <w:r>
        <w:rPr>
          <w:rFonts w:hint="default" w:ascii="仿宋_GB2312" w:hAnsi="宋体" w:eastAsia="仿宋_GB2312" w:cs="Times New Roman"/>
          <w:sz w:val="24"/>
        </w:rPr>
        <w:t xml:space="preserve">           B：参与讲座人数多，讲座现场安静，学生学习讲座内容积极性不高</w:t>
      </w:r>
    </w:p>
    <w:p>
      <w:pPr>
        <w:spacing w:line="360" w:lineRule="auto"/>
      </w:pPr>
      <w:r>
        <w:rPr>
          <w:rFonts w:hint="default" w:ascii="仿宋_GB2312" w:hAnsi="宋体" w:eastAsia="仿宋_GB2312" w:cs="Times New Roman"/>
          <w:sz w:val="24"/>
        </w:rPr>
        <w:t xml:space="preserve">           C：参与讲座人数多，讲座现场不安静，学生学习讲座内容积极性高</w:t>
      </w:r>
    </w:p>
    <w:p>
      <w:pPr>
        <w:spacing w:line="360" w:lineRule="auto"/>
      </w:pPr>
      <w:r>
        <w:rPr>
          <w:rFonts w:hint="default" w:ascii="仿宋_GB2312" w:hAnsi="宋体" w:eastAsia="仿宋_GB2312" w:cs="Times New Roman"/>
          <w:sz w:val="24"/>
        </w:rPr>
        <w:t xml:space="preserve">           D：参与讲座人数不多，讲座现场不安静，学生学习讲座内容积极性不高）</w:t>
      </w:r>
    </w:p>
    <w:p>
      <w:pPr>
        <w:spacing w:line="360" w:lineRule="auto"/>
      </w:pPr>
      <w:r>
        <w:rPr>
          <w:rFonts w:hint="default" w:ascii="仿宋_GB2312" w:hAnsi="宋体" w:eastAsia="仿宋_GB2312" w:cs="Times New Roman"/>
          <w:sz w:val="24"/>
        </w:rPr>
        <w:t>四、后期总结</w:t>
      </w:r>
    </w:p>
    <w:p>
      <w:pPr>
        <w:spacing w:line="360" w:lineRule="auto"/>
        <w:ind w:firstLine="480" w:firstLineChars="200"/>
      </w:pPr>
      <w:r>
        <w:rPr>
          <w:rFonts w:hint="default" w:ascii="仿宋_GB2312" w:hAnsi="宋体" w:eastAsia="仿宋_GB2312" w:cs="Times New Roman"/>
          <w:sz w:val="24"/>
        </w:rPr>
        <w:t>1.</w:t>
      </w:r>
      <w:r>
        <w:rPr>
          <w:rFonts w:hint="default" w:ascii="等线" w:hAnsi="等线" w:cs="等线"/>
          <w:sz w:val="24"/>
        </w:rPr>
        <w:t>讲座的</w:t>
      </w:r>
      <w:r>
        <w:rPr>
          <w:rFonts w:hint="default" w:ascii="等线 Light" w:hAnsi="等线 Light" w:eastAsia="等线 Light" w:cs="微软雅黑"/>
          <w:sz w:val="24"/>
        </w:rPr>
        <w:t>图片资料与讲座前后的新闻推送质量。</w:t>
      </w:r>
    </w:p>
    <w:p>
      <w:pPr>
        <w:ind w:firstLine="480"/>
        <w:jc w:val="left"/>
      </w:pPr>
      <w:r>
        <w:rPr>
          <w:rFonts w:hint="default" w:ascii="仿宋_GB2312" w:hAnsi="黑体" w:eastAsia="仿宋_GB2312" w:cs="Times New Roman"/>
          <w:sz w:val="24"/>
        </w:rPr>
        <w:t>评价（A：讲座前后新闻推送质量高，讲座图片丰富且清晰</w:t>
      </w:r>
    </w:p>
    <w:p>
      <w:pPr>
        <w:ind w:firstLine="480"/>
        <w:jc w:val="left"/>
      </w:pPr>
      <w:r>
        <w:rPr>
          <w:rFonts w:hint="default" w:ascii="仿宋_GB2312" w:hAnsi="黑体" w:eastAsia="仿宋_GB2312" w:cs="Times New Roman"/>
          <w:sz w:val="24"/>
        </w:rPr>
        <w:t xml:space="preserve">      B：讲座前后新闻推送质量高，讲座图片少</w:t>
      </w:r>
    </w:p>
    <w:p>
      <w:pPr>
        <w:ind w:firstLine="480"/>
        <w:jc w:val="left"/>
      </w:pPr>
      <w:r>
        <w:rPr>
          <w:rFonts w:hint="default" w:ascii="仿宋_GB2312" w:hAnsi="黑体" w:eastAsia="仿宋_GB2312" w:cs="Times New Roman"/>
          <w:sz w:val="24"/>
        </w:rPr>
        <w:t xml:space="preserve">      C：讲座前后新闻推送质量不高，讲座图篇丰富且清晰</w:t>
      </w:r>
    </w:p>
    <w:p>
      <w:pPr>
        <w:ind w:firstLine="480"/>
        <w:jc w:val="left"/>
      </w:pPr>
      <w:r>
        <w:rPr>
          <w:rFonts w:hint="default" w:ascii="仿宋_GB2312" w:hAnsi="黑体" w:eastAsia="仿宋_GB2312" w:cs="Times New Roman"/>
          <w:sz w:val="24"/>
        </w:rPr>
        <w:t xml:space="preserve">      D：讲座前后新闻推送质量不高，讲座图片少）</w:t>
      </w:r>
    </w:p>
    <w:p>
      <w:pPr>
        <w:ind w:firstLine="1680" w:firstLineChars="800"/>
      </w:pPr>
    </w:p>
    <w:p>
      <w:r>
        <w:rPr>
          <w:rFonts w:hint="default"/>
          <w:b/>
          <w:sz w:val="24"/>
          <w:szCs w:val="32"/>
        </w:rPr>
        <w:t>综合得分</w:t>
      </w:r>
    </w:p>
    <w:p>
      <w:r>
        <w:rPr>
          <w:rFonts w:hint="default"/>
          <w:sz w:val="24"/>
          <w:szCs w:val="32"/>
        </w:rPr>
        <w:t>1）各等级所对应得分：    2）</w:t>
      </w:r>
      <w:r>
        <w:rPr>
          <w:rFonts w:hint="default"/>
          <w:sz w:val="24"/>
          <w:szCs w:val="32"/>
          <w:u w:val="single"/>
        </w:rPr>
        <w:t>综合得分为四部分得分的平均数</w:t>
      </w:r>
    </w:p>
    <w:tbl>
      <w:tblPr>
        <w:tblStyle w:val="3"/>
        <w:tblW w:w="1980" w:type="dxa"/>
        <w:tblInd w:w="0" w:type="dxa"/>
        <w:tblLayout w:type="fixed"/>
        <w:tblCellMar>
          <w:top w:w="0" w:type="dxa"/>
          <w:left w:w="108" w:type="dxa"/>
          <w:bottom w:w="0" w:type="dxa"/>
          <w:right w:w="108" w:type="dxa"/>
        </w:tblCellMar>
      </w:tblPr>
      <w:tblGrid>
        <w:gridCol w:w="988"/>
        <w:gridCol w:w="992"/>
      </w:tblGrid>
      <w:tr>
        <w:tblPrEx>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ind w:firstLine="240" w:firstLineChars="100"/>
            </w:pPr>
            <w:r>
              <w:rPr>
                <w:rFonts w:hint="default"/>
                <w:sz w:val="24"/>
                <w:szCs w:val="32"/>
              </w:rPr>
              <w:t>A</w:t>
            </w:r>
          </w:p>
        </w:tc>
        <w:tc>
          <w:tcPr>
            <w:tcW w:w="992" w:type="dxa"/>
            <w:tcBorders>
              <w:top w:val="single" w:color="auto" w:sz="4" w:space="0"/>
              <w:left w:val="single" w:color="auto" w:sz="4" w:space="0"/>
              <w:bottom w:val="single" w:color="auto" w:sz="4" w:space="0"/>
              <w:right w:val="single" w:color="auto" w:sz="4" w:space="0"/>
            </w:tcBorders>
          </w:tcPr>
          <w:p>
            <w:pPr>
              <w:ind w:firstLine="240" w:firstLineChars="100"/>
            </w:pPr>
            <w:r>
              <w:rPr>
                <w:rFonts w:hint="default"/>
                <w:sz w:val="24"/>
                <w:szCs w:val="32"/>
              </w:rPr>
              <w:t>95</w:t>
            </w:r>
          </w:p>
        </w:tc>
      </w:tr>
      <w:tr>
        <w:tblPrEx>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r>
              <w:rPr>
                <w:rFonts w:hint="default"/>
                <w:sz w:val="24"/>
                <w:szCs w:val="32"/>
              </w:rPr>
              <w:t xml:space="preserve">  B</w:t>
            </w:r>
          </w:p>
        </w:tc>
        <w:tc>
          <w:tcPr>
            <w:tcW w:w="992" w:type="dxa"/>
            <w:tcBorders>
              <w:top w:val="single" w:color="auto" w:sz="4" w:space="0"/>
              <w:left w:val="single" w:color="auto" w:sz="4" w:space="0"/>
              <w:bottom w:val="single" w:color="auto" w:sz="4" w:space="0"/>
              <w:right w:val="single" w:color="auto" w:sz="4" w:space="0"/>
            </w:tcBorders>
          </w:tcPr>
          <w:p>
            <w:r>
              <w:rPr>
                <w:rFonts w:hint="default"/>
                <w:sz w:val="24"/>
                <w:szCs w:val="32"/>
              </w:rPr>
              <w:t xml:space="preserve">  85</w:t>
            </w:r>
          </w:p>
        </w:tc>
      </w:tr>
      <w:tr>
        <w:tblPrEx>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r>
              <w:rPr>
                <w:rFonts w:hint="default"/>
                <w:sz w:val="24"/>
                <w:szCs w:val="32"/>
              </w:rPr>
              <w:t xml:space="preserve">  C</w:t>
            </w:r>
          </w:p>
        </w:tc>
        <w:tc>
          <w:tcPr>
            <w:tcW w:w="992" w:type="dxa"/>
            <w:tcBorders>
              <w:top w:val="single" w:color="auto" w:sz="4" w:space="0"/>
              <w:left w:val="single" w:color="auto" w:sz="4" w:space="0"/>
              <w:bottom w:val="single" w:color="auto" w:sz="4" w:space="0"/>
              <w:right w:val="single" w:color="auto" w:sz="4" w:space="0"/>
            </w:tcBorders>
          </w:tcPr>
          <w:p>
            <w:r>
              <w:rPr>
                <w:rFonts w:hint="default"/>
                <w:sz w:val="24"/>
                <w:szCs w:val="32"/>
              </w:rPr>
              <w:t xml:space="preserve">  75</w:t>
            </w:r>
          </w:p>
        </w:tc>
      </w:tr>
      <w:tr>
        <w:tblPrEx>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r>
              <w:rPr>
                <w:rFonts w:hint="default"/>
                <w:sz w:val="24"/>
                <w:szCs w:val="32"/>
              </w:rPr>
              <w:t xml:space="preserve">  D</w:t>
            </w:r>
          </w:p>
        </w:tc>
        <w:tc>
          <w:tcPr>
            <w:tcW w:w="992" w:type="dxa"/>
            <w:tcBorders>
              <w:top w:val="single" w:color="auto" w:sz="4" w:space="0"/>
              <w:left w:val="single" w:color="auto" w:sz="4" w:space="0"/>
              <w:bottom w:val="single" w:color="auto" w:sz="4" w:space="0"/>
              <w:right w:val="single" w:color="auto" w:sz="4" w:space="0"/>
            </w:tcBorders>
          </w:tcPr>
          <w:p>
            <w:r>
              <w:rPr>
                <w:rFonts w:hint="default"/>
                <w:sz w:val="24"/>
                <w:szCs w:val="32"/>
              </w:rPr>
              <w:t xml:space="preserve">  65</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0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roman"/>
    <w:pitch w:val="default"/>
    <w:sig w:usb0="A00002BF" w:usb1="38CF7CFA" w:usb2="00000016" w:usb3="00000000" w:csb0="0004000F" w:csb1="00000000"/>
  </w:font>
  <w:font w:name="等线 Light">
    <w:panose1 w:val="02010600030101010101"/>
    <w:charset w:val="86"/>
    <w:family w:val="roman"/>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E50B9"/>
    <w:rsid w:val="0B9E5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2019-09-20T07:51:00Z</dcterms:created>
  <dc:creator>win10</dc:creator>
  <cp:lastModifiedBy>win10</cp:lastModifiedBy>
  <dcterms:modified xsi:type="dcterms:W3CDTF">2019-09-20T07:52:29Z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